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8A2BE">
      <w:pPr>
        <w:ind w:firstLine="482"/>
        <w:jc w:val="left"/>
        <w:rPr>
          <w:rFonts w:hint="eastAsia" w:eastAsiaTheme="minorEastAsia"/>
          <w:b/>
          <w:bCs/>
          <w:sz w:val="24"/>
          <w:lang w:eastAsia="zh-CN"/>
        </w:rPr>
      </w:pPr>
      <w:r>
        <w:rPr>
          <w:rFonts w:hint="eastAsia" w:eastAsiaTheme="minorEastAsia"/>
          <w:b/>
          <w:bCs/>
          <w:sz w:val="24"/>
        </w:rPr>
        <w:t>附件</w:t>
      </w:r>
      <w:r>
        <w:rPr>
          <w:rFonts w:hint="eastAsia" w:eastAsiaTheme="minorEastAsia"/>
          <w:b/>
          <w:bCs/>
          <w:sz w:val="24"/>
          <w:lang w:val="en-US" w:eastAsia="zh-CN"/>
        </w:rPr>
        <w:t xml:space="preserve">1                      </w:t>
      </w:r>
      <w:r>
        <w:rPr>
          <w:rFonts w:hint="eastAsia" w:eastAsiaTheme="minorEastAsia"/>
          <w:b/>
          <w:bCs/>
          <w:sz w:val="32"/>
          <w:szCs w:val="32"/>
          <w:lang w:val="en-US" w:eastAsia="zh-CN"/>
        </w:rPr>
        <w:t>泰达集团面向泰达集团系统内公开选聘岗位汇总表</w:t>
      </w:r>
    </w:p>
    <w:p w14:paraId="3099213E">
      <w:pPr>
        <w:ind w:firstLine="482"/>
        <w:jc w:val="center"/>
        <w:rPr>
          <w:rFonts w:hint="eastAsia" w:eastAsiaTheme="minorEastAsia"/>
          <w:b/>
          <w:bCs/>
          <w:sz w:val="24"/>
        </w:rPr>
      </w:pPr>
    </w:p>
    <w:tbl>
      <w:tblPr>
        <w:tblStyle w:val="4"/>
        <w:tblW w:w="4657" w:type="pct"/>
        <w:tblInd w:w="60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038"/>
        <w:gridCol w:w="1060"/>
        <w:gridCol w:w="549"/>
        <w:gridCol w:w="3481"/>
        <w:gridCol w:w="1054"/>
        <w:gridCol w:w="1033"/>
        <w:gridCol w:w="2457"/>
        <w:gridCol w:w="2565"/>
        <w:gridCol w:w="879"/>
      </w:tblGrid>
      <w:tr w14:paraId="6A96D487">
        <w:trPr>
          <w:trHeight w:val="512" w:hRule="atLeast"/>
          <w:tblHeader/>
        </w:trPr>
        <w:tc>
          <w:tcPr>
            <w:tcW w:w="1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BDAE0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35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93F1D">
            <w:pPr>
              <w:widowControl/>
              <w:spacing w:line="240" w:lineRule="exact"/>
              <w:ind w:firstLine="0" w:firstLineChars="0"/>
              <w:jc w:val="center"/>
              <w:rPr>
                <w:rFonts w:hint="default" w:cs="宋体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单位</w:t>
            </w:r>
          </w:p>
          <w:p w14:paraId="15658C55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FF102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岗位名称</w:t>
            </w:r>
          </w:p>
        </w:tc>
        <w:tc>
          <w:tcPr>
            <w:tcW w:w="18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F79FE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人数</w:t>
            </w:r>
          </w:p>
        </w:tc>
        <w:tc>
          <w:tcPr>
            <w:tcW w:w="11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5C73C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主要岗位职责</w:t>
            </w:r>
          </w:p>
        </w:tc>
        <w:tc>
          <w:tcPr>
            <w:tcW w:w="244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78CCE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任职资格</w:t>
            </w:r>
          </w:p>
        </w:tc>
        <w:tc>
          <w:tcPr>
            <w:tcW w:w="3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159E4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026CE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</w:trPr>
        <w:tc>
          <w:tcPr>
            <w:tcW w:w="1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63C18">
            <w:pPr>
              <w:widowControl/>
              <w:spacing w:line="240" w:lineRule="exact"/>
              <w:ind w:firstLine="0" w:firstLineChars="0"/>
              <w:jc w:val="left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D781">
            <w:pPr>
              <w:widowControl/>
              <w:spacing w:line="240" w:lineRule="exact"/>
              <w:ind w:firstLine="0" w:firstLineChars="0"/>
              <w:jc w:val="left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DA709">
            <w:pPr>
              <w:widowControl/>
              <w:spacing w:line="240" w:lineRule="exact"/>
              <w:ind w:firstLine="0" w:firstLineChars="0"/>
              <w:jc w:val="left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9970D">
            <w:pPr>
              <w:widowControl/>
              <w:spacing w:line="240" w:lineRule="exact"/>
              <w:ind w:firstLine="0" w:firstLineChars="0"/>
              <w:jc w:val="left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D1B6E">
            <w:pPr>
              <w:widowControl/>
              <w:spacing w:line="240" w:lineRule="exact"/>
              <w:ind w:firstLine="0" w:firstLineChars="0"/>
              <w:jc w:val="left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AEA1C">
            <w:pPr>
              <w:widowControl/>
              <w:spacing w:line="240" w:lineRule="exact"/>
              <w:ind w:firstLine="0" w:firstLineChars="0"/>
              <w:jc w:val="center"/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119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32D48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学习和</w:t>
            </w: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工作经验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81DB6">
            <w:pPr>
              <w:widowControl/>
              <w:spacing w:line="240" w:lineRule="exact"/>
              <w:ind w:firstLine="0" w:firstLineChars="0"/>
              <w:jc w:val="center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  <w:t>其他条件</w:t>
            </w:r>
          </w:p>
        </w:tc>
        <w:tc>
          <w:tcPr>
            <w:tcW w:w="30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67F653">
            <w:pPr>
              <w:widowControl/>
              <w:spacing w:line="240" w:lineRule="exact"/>
              <w:ind w:firstLine="0" w:firstLineChars="0"/>
              <w:jc w:val="left"/>
              <w:rPr>
                <w:rFonts w:cs="宋体" w:eastAsiaTheme="minorEastAsia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3EB56BE">
        <w:trPr>
          <w:trHeight w:val="3106" w:hRule="atLeast"/>
        </w:trPr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88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7D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天津泰达集团有限公司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A1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 xml:space="preserve">财务部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会计核算及税务管理岗</w:t>
            </w:r>
          </w:p>
        </w:tc>
        <w:tc>
          <w:tcPr>
            <w:tcW w:w="1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1E2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197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1.按照会计准则的具体要求，拟定集团会计政策，保证会计核算的准确性、及时性和完整性；</w:t>
            </w:r>
          </w:p>
          <w:p w14:paraId="4CDFA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2.依据会计准则、集团会计政策的规定，真实准确地进行财务核算；</w:t>
            </w:r>
          </w:p>
          <w:p w14:paraId="0A3A8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3.编制集团本部各类财务报表，包括国资报表、财政报表、控股要求报表、统计报表等，组织审核各类财务分析、资金分析等；</w:t>
            </w:r>
          </w:p>
          <w:p w14:paraId="14CD1E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4.完成领导交办的其他工作。</w:t>
            </w:r>
          </w:p>
        </w:tc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4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35岁以下（199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日以后出生）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D5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大学本科及以上学历</w:t>
            </w:r>
          </w:p>
        </w:tc>
        <w:tc>
          <w:tcPr>
            <w:tcW w:w="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2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8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07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1.熟悉融资、财务管理、会计核算、税务等工作相关专业知识和业务流程；</w:t>
            </w:r>
          </w:p>
          <w:p w14:paraId="05A2B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2.工作思路清晰，具有胜任岗位工作职责的能力和素质。</w:t>
            </w:r>
            <w:bookmarkStart w:id="0" w:name="_GoBack"/>
            <w:bookmarkEnd w:id="0"/>
          </w:p>
        </w:tc>
        <w:tc>
          <w:tcPr>
            <w:tcW w:w="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A1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时间计算截止至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日</w:t>
            </w:r>
          </w:p>
        </w:tc>
      </w:tr>
      <w:tr w14:paraId="587F4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</w:trPr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18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DC4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天津泰达集团有限公司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705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 w:bidi="ar-SA"/>
              </w:rPr>
              <w:t>财务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 xml:space="preserve">部 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 w:bidi="ar-SA"/>
              </w:rPr>
              <w:t>融资及担保管理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岗</w:t>
            </w:r>
          </w:p>
        </w:tc>
        <w:tc>
          <w:tcPr>
            <w:tcW w:w="1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6FF0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EE2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负责集团经济运行分析及总体间接融资安排；</w:t>
            </w:r>
          </w:p>
          <w:p w14:paraId="41D51C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统计集团本部融资成本，综合计算平均成本，为相关决策提供合理依据；</w:t>
            </w:r>
          </w:p>
          <w:p w14:paraId="382175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负责集团担保管理工作；</w:t>
            </w:r>
          </w:p>
          <w:p w14:paraId="75A65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完成领导交办的其他工作。</w:t>
            </w:r>
          </w:p>
        </w:tc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B8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35岁以下（199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日以后出生）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F8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大学本科及以上学历</w:t>
            </w:r>
          </w:p>
        </w:tc>
        <w:tc>
          <w:tcPr>
            <w:tcW w:w="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2FE8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8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B9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1.熟悉融资、财务管理、会计核算、税务等工作相关专业知识和业务流程；</w:t>
            </w:r>
          </w:p>
          <w:p w14:paraId="70E30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2.工作思路清晰，具有胜任岗位工作职责的能力和素质。</w:t>
            </w:r>
          </w:p>
        </w:tc>
        <w:tc>
          <w:tcPr>
            <w:tcW w:w="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A1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时间计算截止至20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日</w:t>
            </w:r>
          </w:p>
        </w:tc>
      </w:tr>
    </w:tbl>
    <w:p w14:paraId="16C9559D">
      <w:pPr>
        <w:ind w:left="0" w:leftChars="0" w:firstLine="0" w:firstLineChars="0"/>
        <w:jc w:val="both"/>
        <w:rPr>
          <w:rFonts w:eastAsiaTheme="minorEastAsia"/>
          <w:sz w:val="24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6838" w:h="11906" w:orient="landscape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